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Proforma Invoice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Proforma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Valid Until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Place of Supply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Bill To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[Customer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Description of Goods / Services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Taxable Value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Amt.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Amount in words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Bank Details</w:t>
                  </w:r>
                </w:p>
                <w:p>
                  <w:r>
                    <w:rPr>
                      <w:color w:val="4B5563"/>
                    </w:rPr>
                    <w:t xml:space="preserve">Bank: </w:t>
                  </w:r>
                </w:p>
                <w:p>
                  <w:r>
                    <w:rPr>
                      <w:color w:val="4B5563"/>
                    </w:rPr>
                    <w:t xml:space="preserve">A/c Name: </w:t>
                  </w:r>
                </w:p>
                <w:p>
                  <w:r>
                    <w:rPr>
                      <w:color w:val="4B5563"/>
                    </w:rPr>
                    <w:t xml:space="preserve">A/c No.: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Taxable Value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Grand Total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Terms &amp; Conditions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Proforma Invoice Format – Blank, Editable | FormatWala</dc:title>
  <dc:language>en-IN</dc:language>
  <dcterms:created xsi:type="dcterms:W3CDTF">2026-10-07T19:33:14Z</dcterms:created>
  <dcterms:modified xsi:type="dcterms:W3CDTF">2026-10-07T19:33:14Z</dcterms:modified>
</cp:coreProperties>
</file>